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A7" w:rsidRDefault="000A163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289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35" w:rsidRDefault="000A16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635" w:rsidRPr="003C296D" w:rsidRDefault="000A16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FE7276" w:rsidRDefault="00CB38A7" w:rsidP="000A1635">
      <w:pPr>
        <w:spacing w:line="600" w:lineRule="atLeast"/>
        <w:jc w:val="center"/>
        <w:rPr>
          <w:b/>
          <w:bCs/>
          <w:color w:val="252525"/>
          <w:spacing w:val="-2"/>
          <w:sz w:val="40"/>
          <w:szCs w:val="40"/>
          <w:lang w:val="ru-RU"/>
        </w:rPr>
      </w:pPr>
      <w:bookmarkStart w:id="0" w:name="_GoBack"/>
      <w:bookmarkEnd w:id="0"/>
      <w:r w:rsidRPr="00FE7276">
        <w:rPr>
          <w:b/>
          <w:bCs/>
          <w:color w:val="252525"/>
          <w:spacing w:val="-2"/>
          <w:sz w:val="40"/>
          <w:szCs w:val="40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55"/>
        <w:gridCol w:w="710"/>
      </w:tblGrid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27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Блок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ВОСПИТАТЕЛЬНАЯ И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7F0A51" w:rsidRPr="00B143AC" w:rsidRDefault="00CB38A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Работа с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воспитанниками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1.2. Работа с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7F0A51" w:rsidRPr="00ED03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АДМИНИСТРАТИВНАЯ И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7F0A51" w:rsidRPr="00B143AC" w:rsidRDefault="00CB38A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2.1. 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Методическая работа</w:t>
            </w:r>
          </w:p>
          <w:p w:rsidR="007F0A51" w:rsidRPr="00B143AC" w:rsidRDefault="00CB38A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2.2. Нормотворчество</w:t>
            </w:r>
          </w:p>
          <w:p w:rsidR="007F0A51" w:rsidRPr="00B143AC" w:rsidRDefault="00CB38A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2.3. Работа с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кадрами</w:t>
            </w:r>
          </w:p>
          <w:p w:rsidR="00ED03E7" w:rsidRPr="00ED03E7" w:rsidRDefault="00CB38A7" w:rsidP="00ED03E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03E7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2.4. Контроль и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ED03E7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оценка деятельности</w:t>
            </w:r>
          </w:p>
          <w:p w:rsidR="00ED03E7" w:rsidRPr="00ED03E7" w:rsidRDefault="00ED03E7" w:rsidP="00ED03E7">
            <w:pPr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2.5.</w:t>
            </w:r>
            <w:r w:rsidRPr="00ED03E7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 xml:space="preserve"> </w:t>
            </w:r>
            <w:r w:rsidRPr="00ED03E7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Мониторинг инфраструктуры РППС</w:t>
            </w:r>
            <w:r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            </w:t>
            </w:r>
            <w:r w:rsidR="00591A1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</w:t>
            </w:r>
            <w:r w:rsidR="00591A18" w:rsidRPr="00591A18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11-13</w:t>
            </w:r>
            <w:r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</w:t>
            </w:r>
          </w:p>
          <w:p w:rsidR="00ED03E7" w:rsidRPr="00ED03E7" w:rsidRDefault="00ED0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ED03E7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Pr="00ED03E7" w:rsidRDefault="00ED0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8-10</w:t>
            </w:r>
          </w:p>
          <w:p w:rsidR="007F0A51" w:rsidRPr="00ED03E7" w:rsidRDefault="00ED0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7F0A51" w:rsidRPr="00ED03E7" w:rsidRDefault="00ED03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7F0A51" w:rsidRPr="00ED03E7" w:rsidRDefault="00ED03E7" w:rsidP="00591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</w:t>
            </w:r>
            <w:r w:rsidR="00591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ХОЗЯЙСТВЕННАЯ ДЕЯТЕЛЬНОСТЬ И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FE7276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7F0A51" w:rsidRPr="00B143AC" w:rsidRDefault="00CB38A7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Закупка и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B143AC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содержание материально-технической базы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03E7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3.2. Безо</w:t>
            </w:r>
            <w:proofErr w:type="spellStart"/>
            <w:r w:rsidRPr="00B143AC">
              <w:rPr>
                <w:rFonts w:hAnsi="Times New Roman" w:cs="Times New Roman"/>
                <w:color w:val="000000"/>
                <w:sz w:val="26"/>
                <w:szCs w:val="26"/>
              </w:rPr>
              <w:t>пасность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ED03E7" w:rsidRDefault="007F0A51">
            <w:pPr>
              <w:rPr>
                <w:rFonts w:hAnsi="Times New Roman" w:cs="Times New Roman"/>
                <w:color w:val="000000"/>
              </w:rPr>
            </w:pPr>
          </w:p>
          <w:p w:rsidR="007F0A51" w:rsidRPr="00ED03E7" w:rsidRDefault="00ED03E7">
            <w:pPr>
              <w:rPr>
                <w:rFonts w:hAnsi="Times New Roman" w:cs="Times New Roman"/>
                <w:color w:val="000000"/>
                <w:lang w:val="ru-RU"/>
              </w:rPr>
            </w:pPr>
            <w:r w:rsidRPr="00ED03E7">
              <w:rPr>
                <w:rFonts w:hAnsi="Times New Roman" w:cs="Times New Roman"/>
                <w:color w:val="000000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lang w:val="ru-RU"/>
              </w:rPr>
              <w:t>_</w:t>
            </w:r>
            <w:r w:rsidRPr="00ED03E7">
              <w:rPr>
                <w:rFonts w:hAnsi="Times New Roman" w:cs="Times New Roman"/>
                <w:color w:val="000000"/>
                <w:lang w:val="ru-RU"/>
              </w:rPr>
              <w:t>15</w:t>
            </w:r>
          </w:p>
          <w:p w:rsidR="007F0A51" w:rsidRPr="00ED03E7" w:rsidRDefault="00ED03E7" w:rsidP="00ED03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</w:rPr>
              <w:t>16</w:t>
            </w:r>
            <w:r w:rsidR="00CB38A7" w:rsidRPr="00ED03E7">
              <w:rPr>
                <w:rFonts w:hAnsi="Times New Roman" w:cs="Times New Roman"/>
                <w:color w:val="000000"/>
              </w:rPr>
              <w:t>–1</w:t>
            </w:r>
            <w:r>
              <w:rPr>
                <w:rFonts w:hAnsi="Times New Roman" w:cs="Times New Roman"/>
                <w:color w:val="000000"/>
                <w:lang w:val="ru-RU"/>
              </w:rPr>
              <w:t>7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AA4BEB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ED03E7" w:rsidRDefault="007F0A51">
            <w:pPr>
              <w:rPr>
                <w:rFonts w:hAnsi="Times New Roman" w:cs="Times New Roman"/>
                <w:color w:val="000000"/>
              </w:rPr>
            </w:pPr>
          </w:p>
        </w:tc>
      </w:tr>
    </w:tbl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E7276" w:rsidRDefault="00FE7276" w:rsidP="00FE727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D03E7" w:rsidRDefault="00ED03E7" w:rsidP="00FE727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D03E7" w:rsidRDefault="00ED03E7" w:rsidP="00FE727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D03E7" w:rsidRDefault="00ED03E7" w:rsidP="00FE727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D03E7" w:rsidRDefault="00ED03E7" w:rsidP="00FE7276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Pr="00FE7276" w:rsidRDefault="00591A18" w:rsidP="00FE7276">
      <w:pPr>
        <w:spacing w:before="0" w:beforeAutospacing="0" w:after="0" w:afterAutospacing="0" w:line="600" w:lineRule="atLeast"/>
        <w:jc w:val="center"/>
        <w:rPr>
          <w:b/>
          <w:bCs/>
          <w:i/>
          <w:color w:val="252525"/>
          <w:spacing w:val="-2"/>
          <w:sz w:val="40"/>
          <w:szCs w:val="40"/>
          <w:lang w:val="ru-RU"/>
        </w:rPr>
      </w:pPr>
      <w:r>
        <w:rPr>
          <w:b/>
          <w:bCs/>
          <w:i/>
          <w:color w:val="252525"/>
          <w:spacing w:val="-2"/>
          <w:sz w:val="40"/>
          <w:szCs w:val="40"/>
          <w:lang w:val="ru-RU"/>
        </w:rPr>
        <w:t>Ц</w:t>
      </w:r>
      <w:r w:rsidR="00CB38A7" w:rsidRPr="00FE7276">
        <w:rPr>
          <w:b/>
          <w:bCs/>
          <w:i/>
          <w:color w:val="252525"/>
          <w:spacing w:val="-2"/>
          <w:sz w:val="40"/>
          <w:szCs w:val="40"/>
          <w:lang w:val="ru-RU"/>
        </w:rPr>
        <w:t>ели и</w:t>
      </w:r>
      <w:r w:rsidR="00CB38A7" w:rsidRPr="00FE7276">
        <w:rPr>
          <w:b/>
          <w:bCs/>
          <w:i/>
          <w:color w:val="252525"/>
          <w:spacing w:val="-2"/>
          <w:sz w:val="40"/>
          <w:szCs w:val="40"/>
        </w:rPr>
        <w:t> </w:t>
      </w:r>
      <w:r w:rsidR="00CB38A7" w:rsidRPr="00FE7276">
        <w:rPr>
          <w:b/>
          <w:bCs/>
          <w:i/>
          <w:color w:val="252525"/>
          <w:spacing w:val="-2"/>
          <w:sz w:val="40"/>
          <w:szCs w:val="40"/>
          <w:lang w:val="ru-RU"/>
        </w:rPr>
        <w:t>задачи детского сада на</w:t>
      </w:r>
    </w:p>
    <w:p w:rsidR="007F0A51" w:rsidRPr="00FE7276" w:rsidRDefault="00CB38A7" w:rsidP="0078763D">
      <w:pPr>
        <w:spacing w:before="0" w:beforeAutospacing="0" w:after="0" w:afterAutospacing="0" w:line="600" w:lineRule="atLeast"/>
        <w:jc w:val="center"/>
        <w:rPr>
          <w:b/>
          <w:bCs/>
          <w:i/>
          <w:color w:val="252525"/>
          <w:spacing w:val="-2"/>
          <w:sz w:val="40"/>
          <w:szCs w:val="40"/>
          <w:lang w:val="ru-RU"/>
        </w:rPr>
      </w:pPr>
      <w:r w:rsidRPr="00FE7276">
        <w:rPr>
          <w:b/>
          <w:bCs/>
          <w:i/>
          <w:color w:val="252525"/>
          <w:spacing w:val="-2"/>
          <w:sz w:val="40"/>
          <w:szCs w:val="40"/>
          <w:lang w:val="ru-RU"/>
        </w:rPr>
        <w:t>2023</w:t>
      </w:r>
      <w:r w:rsidR="00B143AC">
        <w:rPr>
          <w:b/>
          <w:bCs/>
          <w:i/>
          <w:color w:val="252525"/>
          <w:spacing w:val="-2"/>
          <w:sz w:val="40"/>
          <w:szCs w:val="40"/>
          <w:lang w:val="ru-RU"/>
        </w:rPr>
        <w:t xml:space="preserve"> - 20</w:t>
      </w:r>
      <w:r w:rsidRPr="00FE7276">
        <w:rPr>
          <w:b/>
          <w:bCs/>
          <w:i/>
          <w:color w:val="252525"/>
          <w:spacing w:val="-2"/>
          <w:sz w:val="40"/>
          <w:szCs w:val="40"/>
          <w:lang w:val="ru-RU"/>
        </w:rPr>
        <w:t>24 учебный год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7276">
        <w:rPr>
          <w:rFonts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ЦЕЛИ РАБОТЫ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итогам анализа деятельности детского сада за прошедший год с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учетом направлений программы развития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социальных, нравственных, эстетических, интеллектуальных, физических качеств, инициативности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самостоятельности в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учетом социального заказа родителей.</w:t>
      </w:r>
    </w:p>
    <w:p w:rsidR="007F0A51" w:rsidRPr="00FE7276" w:rsidRDefault="00CB38A7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ЗАДАЧИ</w:t>
      </w:r>
      <w:r w:rsidRPr="00FE727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: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для достижения намеченных целей необходимо: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 xml:space="preserve">улучшить условия для реализации </w:t>
      </w:r>
      <w:proofErr w:type="spellStart"/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воспитательно</w:t>
      </w:r>
      <w:proofErr w:type="spellEnd"/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-образовательной деятельности;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обновить материально-техническую базу помещений для обучения воспитанников;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повысить профессиональную компетентность педагогических работников;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ввести в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работу с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воспитанниками новые физкультурно-оздоровительные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духовно-нравственные мероприятия;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совершенствовать систему взаимодействия педагогов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родителей по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приобщению дошкольников к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здоровому образу жизни, сохранению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укреплению здоровья детей, обеспечению физической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психической безопасности, формированию основ безопасной жизнедеятельности;</w:t>
      </w:r>
    </w:p>
    <w:p w:rsidR="007F0A51" w:rsidRPr="00FE7276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обеспечить развитие педагогических подходов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технологий осуществления преемственности образования, направленных на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формирование фундаментальных личностных компетенций дошкольника 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учащегося начальной школы, в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ФГОС ДО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FE7276">
        <w:rPr>
          <w:rFonts w:hAnsi="Times New Roman" w:cs="Times New Roman"/>
          <w:color w:val="000000"/>
          <w:sz w:val="26"/>
          <w:szCs w:val="26"/>
        </w:rPr>
        <w:t> </w:t>
      </w:r>
      <w:r w:rsidRPr="00FE7276">
        <w:rPr>
          <w:rFonts w:hAnsi="Times New Roman" w:cs="Times New Roman"/>
          <w:color w:val="000000"/>
          <w:sz w:val="26"/>
          <w:szCs w:val="26"/>
          <w:lang w:val="ru-RU"/>
        </w:rPr>
        <w:t>НОО;</w:t>
      </w:r>
    </w:p>
    <w:p w:rsidR="006F49AB" w:rsidRPr="00FE7276" w:rsidRDefault="006F49AB">
      <w:pPr>
        <w:spacing w:line="600" w:lineRule="atLeast"/>
        <w:rPr>
          <w:b/>
          <w:bCs/>
          <w:color w:val="252525"/>
          <w:spacing w:val="-2"/>
          <w:sz w:val="26"/>
          <w:szCs w:val="26"/>
          <w:lang w:val="ru-RU"/>
        </w:rPr>
      </w:pPr>
    </w:p>
    <w:p w:rsidR="00381723" w:rsidRDefault="00381723" w:rsidP="006F49AB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381723" w:rsidRDefault="00381723" w:rsidP="006F49AB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381723" w:rsidRDefault="00381723" w:rsidP="006F49AB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7F0A51" w:rsidRPr="00FE7276" w:rsidRDefault="00CB38A7" w:rsidP="006F49AB">
      <w:pPr>
        <w:spacing w:line="600" w:lineRule="atLeast"/>
        <w:jc w:val="center"/>
        <w:rPr>
          <w:b/>
          <w:bCs/>
          <w:i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 xml:space="preserve">Блок </w:t>
      </w:r>
      <w:r w:rsidRPr="00BC3267">
        <w:rPr>
          <w:b/>
          <w:bCs/>
          <w:color w:val="252525"/>
          <w:spacing w:val="-2"/>
          <w:sz w:val="36"/>
          <w:szCs w:val="36"/>
        </w:rPr>
        <w:t>I</w:t>
      </w: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t xml:space="preserve">. </w:t>
      </w:r>
      <w:r w:rsidRPr="00FE7276">
        <w:rPr>
          <w:b/>
          <w:bCs/>
          <w:i/>
          <w:color w:val="252525"/>
          <w:spacing w:val="-2"/>
          <w:sz w:val="32"/>
          <w:szCs w:val="32"/>
          <w:lang w:val="ru-RU"/>
        </w:rPr>
        <w:t>ВОСПИТАТЕЛЬНО-ОБРАЗОВАТЕЛЬНАЯ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BC3267">
        <w:rPr>
          <w:b/>
          <w:bCs/>
          <w:color w:val="252525"/>
          <w:spacing w:val="-2"/>
          <w:sz w:val="28"/>
          <w:szCs w:val="28"/>
        </w:rPr>
        <w:t> </w:t>
      </w: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403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0"/>
        <w:gridCol w:w="1112"/>
        <w:gridCol w:w="5075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 w:rsidRPr="000A16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Pr="00CB38A7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музыкальный руководитель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5"/>
        <w:gridCol w:w="1280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B38A7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5455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5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«ЮПИД+ЮИД- вместе за безопасные дороги»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5455F8" w:rsidRDefault="005455F8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«Родительский патруль» ЮПИД И ЮИД выбирают безопасность»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«Волшебное колесо-2024»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 w:rsidTr="00E22A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Всероссийские</w:t>
            </w:r>
          </w:p>
        </w:tc>
      </w:tr>
      <w:tr w:rsidR="00E22AE0" w:rsidRPr="00E22AE0" w:rsidTr="00E22AE0"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t>1.2. Работа с семьями воспитанников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8"/>
        <w:gridCol w:w="2083"/>
        <w:gridCol w:w="2176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CB38A7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939"/>
        <w:gridCol w:w="2126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2023/2024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2B0B77" w:rsidRDefault="002B0B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7F0A51" w:rsidRPr="002850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2850A5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Разновозрастная группа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 младший</w:t>
            </w:r>
            <w:proofErr w:type="gramEnd"/>
            <w:r w:rsidR="00CB38A7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ы:</w:t>
            </w:r>
            <w:r w:rsidR="00CB38A7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Ребенку – дошкольнику ничего не интересно, кроме ТВ и планшета – что делать?»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Pr="00CB38A7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разновозрастная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1D662E" w:rsidP="002B0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«Организация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новогоднего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1D662E" w:rsidRDefault="001D662E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Социализация детей младшего дошкольного возраста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5D60" w:rsidRP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1D662E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возраст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«Причины детской агрессивности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Tr="00AA4BEB">
        <w:trPr>
          <w:trHeight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и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возрасты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разновозрастной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группы: «Обучение дошкольников основам безопасности жизнедеятельности»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«Что такое мелкая моторика и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CB38A7" w:rsidRDefault="00200546" w:rsidP="00200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детей к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Воспитатели</w:t>
            </w:r>
          </w:p>
        </w:tc>
      </w:tr>
    </w:tbl>
    <w:p w:rsidR="00381723" w:rsidRDefault="00381723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381723" w:rsidRDefault="00381723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381723" w:rsidRDefault="00381723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381723" w:rsidRDefault="00381723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7F0A51" w:rsidRPr="00BC3267" w:rsidRDefault="00CB38A7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 xml:space="preserve">Блок </w:t>
      </w:r>
      <w:r w:rsidRPr="00BC3267">
        <w:rPr>
          <w:b/>
          <w:bCs/>
          <w:color w:val="252525"/>
          <w:spacing w:val="-2"/>
          <w:sz w:val="32"/>
          <w:szCs w:val="32"/>
        </w:rPr>
        <w:t>II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 xml:space="preserve">. </w:t>
      </w:r>
      <w:r w:rsidRPr="00B143AC">
        <w:rPr>
          <w:b/>
          <w:bCs/>
          <w:i/>
          <w:color w:val="252525"/>
          <w:spacing w:val="-2"/>
          <w:sz w:val="32"/>
          <w:szCs w:val="32"/>
          <w:lang w:val="ru-RU"/>
        </w:rPr>
        <w:t>АДМИНИСТРАТИВНАЯ И</w:t>
      </w:r>
      <w:r w:rsidRPr="00B143AC">
        <w:rPr>
          <w:b/>
          <w:bCs/>
          <w:i/>
          <w:color w:val="252525"/>
          <w:spacing w:val="-2"/>
          <w:sz w:val="32"/>
          <w:szCs w:val="32"/>
        </w:rPr>
        <w:t> </w:t>
      </w:r>
      <w:r w:rsidRPr="00B143AC">
        <w:rPr>
          <w:b/>
          <w:bCs/>
          <w:i/>
          <w:color w:val="252525"/>
          <w:spacing w:val="-2"/>
          <w:sz w:val="32"/>
          <w:szCs w:val="32"/>
          <w:lang w:val="ru-RU"/>
        </w:rPr>
        <w:t>МЕТОДИЧЕСКАЯ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6"/>
        <w:gridCol w:w="1349"/>
        <w:gridCol w:w="1872"/>
      </w:tblGrid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D662E" w:rsidRDefault="00CB38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методсопровождения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2"/>
        <w:gridCol w:w="1414"/>
        <w:gridCol w:w="1911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8A1C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патриотического воспитания старших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3"/>
        <w:gridCol w:w="1112"/>
        <w:gridCol w:w="214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CB38A7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4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lastRenderedPageBreak/>
        <w:t>2.2. Нормотворчество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276"/>
        <w:gridCol w:w="1872"/>
      </w:tblGrid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59466F" w:rsidRPr="0059466F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2.3. Работа с кадрами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268"/>
        <w:gridCol w:w="3119"/>
      </w:tblGrid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7F0A51" w:rsidTr="006F67E5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B143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Капинус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D5748" w:rsidRDefault="00B143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7411F0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="006F67E5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A52C43" w:rsidP="006F67E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D5748" w:rsidRDefault="00B143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  <w:r w:rsidR="006F67E5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7F0A51" w:rsidRPr="00597258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r w:rsidR="00597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по самообразованию педагогов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5510"/>
        <w:gridCol w:w="1356"/>
        <w:gridCol w:w="1837"/>
      </w:tblGrid>
      <w:tr w:rsidR="00597258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597258" w:rsidRPr="00597258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основной деятельности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97258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DD3F91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2F" w:rsidRPr="00344D2F" w:rsidRDefault="00344D2F" w:rsidP="00344D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Участие в методической деятельности, распространение опыта работы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Внедрение современных образовательных технологий, форм и методов в образовательный процесс.</w:t>
            </w:r>
            <w:r w:rsidRPr="00344D2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Повышение качества </w:t>
            </w:r>
            <w:proofErr w:type="spellStart"/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образовательного процесса, активизация активности педагогов. Выступление на мероприятиях районного и муниципального уровня. Распространение опыта работы РМО. </w:t>
            </w:r>
          </w:p>
          <w:p w:rsidR="007F0A51" w:rsidRPr="00344D2F" w:rsidRDefault="007F0A5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344D2F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Повышение профессиональной компетентности. Участие в работе РМО, обмен опытом работы. Приобретение новых знаний.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 xml:space="preserve">Участие в конкурсах профессионального мастерства на 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муниципальном, зональном уровнях</w:t>
            </w: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Прохождение курсов профессиональной переподготовки. Приобретение систематических знаний в области педагогики и психологии, повышение квалификации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Оценка эффективности программы самообразования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Эффективность программы: - достижение положительной динамики качества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ru-RU"/>
              </w:rPr>
              <w:t>-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образовательного процесса; - результативность использования современных образовательных технологий в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-образовательном процессе ДОУ -эффективность модели методического сопровождения педагогов ДОУ</w:t>
            </w:r>
          </w:p>
          <w:p w:rsidR="00DD3F91" w:rsidRPr="00DD3F91" w:rsidRDefault="00DD3F91" w:rsidP="00DD3F9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Подведение итогов самообразования. Оценка и  самооценка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2.</w:t>
      </w:r>
      <w:r w:rsidR="00236288">
        <w:rPr>
          <w:b/>
          <w:bCs/>
          <w:color w:val="252525"/>
          <w:spacing w:val="-2"/>
          <w:sz w:val="32"/>
          <w:szCs w:val="32"/>
          <w:lang w:val="ru-RU"/>
        </w:rPr>
        <w:t>4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Контроль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оценка деятельности</w:t>
      </w:r>
    </w:p>
    <w:p w:rsidR="00173414" w:rsidRDefault="001734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173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.1. </w:t>
      </w:r>
      <w:proofErr w:type="spellStart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730"/>
        <w:gridCol w:w="1639"/>
        <w:gridCol w:w="1386"/>
        <w:gridCol w:w="180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 w:rsidRPr="006F6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школе. Анализ образовательной деятельности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30F2F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0"/>
        <w:gridCol w:w="1655"/>
        <w:gridCol w:w="1872"/>
      </w:tblGrid>
      <w:tr w:rsidR="007F0A51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30F2F" w:rsidRDefault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</w:t>
      </w:r>
      <w:r w:rsidR="00B30F2F">
        <w:rPr>
          <w:b/>
          <w:bCs/>
          <w:color w:val="252525"/>
          <w:spacing w:val="-2"/>
          <w:sz w:val="32"/>
          <w:szCs w:val="32"/>
          <w:lang w:val="ru-RU"/>
        </w:rPr>
        <w:t>5</w:t>
      </w:r>
      <w:r w:rsidRPr="00BC3267">
        <w:rPr>
          <w:b/>
          <w:bCs/>
          <w:color w:val="252525"/>
          <w:spacing w:val="-2"/>
          <w:sz w:val="32"/>
          <w:szCs w:val="32"/>
        </w:rPr>
        <w:t>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1"/>
        <w:gridCol w:w="1414"/>
        <w:gridCol w:w="201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8F0235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8F0235">
        <w:rPr>
          <w:b/>
          <w:bCs/>
          <w:color w:val="252525"/>
          <w:spacing w:val="-2"/>
          <w:sz w:val="32"/>
          <w:szCs w:val="32"/>
        </w:rPr>
        <w:t>III</w:t>
      </w:r>
      <w:r w:rsidRPr="008F0235">
        <w:rPr>
          <w:b/>
          <w:bCs/>
          <w:color w:val="252525"/>
          <w:spacing w:val="-2"/>
          <w:sz w:val="32"/>
          <w:szCs w:val="32"/>
          <w:lang w:val="ru-RU"/>
        </w:rPr>
        <w:t xml:space="preserve">. </w:t>
      </w:r>
      <w:r w:rsidRPr="00B143AC">
        <w:rPr>
          <w:b/>
          <w:bCs/>
          <w:i/>
          <w:color w:val="252525"/>
          <w:spacing w:val="-2"/>
          <w:sz w:val="32"/>
          <w:szCs w:val="32"/>
          <w:lang w:val="ru-RU"/>
        </w:rPr>
        <w:t>ХОЗЯЙСТВЕННАЯ ДЕЯТЕЛЬНОСТЬ И</w:t>
      </w:r>
      <w:r w:rsidRPr="00B143AC">
        <w:rPr>
          <w:b/>
          <w:bCs/>
          <w:i/>
          <w:color w:val="252525"/>
          <w:spacing w:val="-2"/>
          <w:sz w:val="32"/>
          <w:szCs w:val="32"/>
        </w:rPr>
        <w:t> </w:t>
      </w:r>
      <w:r w:rsidRPr="00B143AC">
        <w:rPr>
          <w:b/>
          <w:bCs/>
          <w:i/>
          <w:color w:val="252525"/>
          <w:spacing w:val="-2"/>
          <w:sz w:val="32"/>
          <w:szCs w:val="32"/>
          <w:lang w:val="ru-RU"/>
        </w:rPr>
        <w:t>БЕЗОПАСНОСТЬ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3.1. Закупка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содержание материально-технической базы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559"/>
        <w:gridCol w:w="1984"/>
      </w:tblGrid>
      <w:tr w:rsidR="007F0A51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производственные собрания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Default="008863D4" w:rsidP="008863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CB38A7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Производственные совещания:                                     - требования ОТ и ТБ,  противопожарной безопасности, антитеррористической безопасности;   - соблюдение требований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январь,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аперль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июль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 по эстетическому оформлению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Обогащение предметно-развивающей среды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в МБДОУ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благоустройству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Текущие ремонтные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3.2. Безопасность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8"/>
        <w:gridCol w:w="1865"/>
        <w:gridCol w:w="1974"/>
      </w:tblGrid>
      <w:tr w:rsidR="007F0A51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F0AA6" w:rsidRDefault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Ежедневное проведение проверки работоспособности кнопки тревожной сигнализации в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пропускного и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внутриобъектового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режимов и осуществление контроля за  функционированием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ДОУ.Усиление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пропускного режима автотранспорта на территорию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Инструктажей:  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обеспечению безопасности, антитеррористической защищенности сотрудников и детей в условиях повседневной деятельности;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действиям при обнаружении предмета, похожего на взрывное устройство;-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 и т.п.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 внешней безопасности (наличие замков на подвальном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помещении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сарае, 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калитке)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дворник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646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своевременного прихода на работу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сотрудникам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за 10-15 минут 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Сторожа, дворник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 исправностью работы систем АПС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</w:t>
      </w:r>
      <w:r w:rsidRPr="008F0235">
        <w:rPr>
          <w:rFonts w:hAnsi="Times New Roman" w:cs="Times New Roman"/>
          <w:b/>
          <w:bCs/>
          <w:color w:val="000000"/>
          <w:sz w:val="24"/>
          <w:szCs w:val="24"/>
        </w:rPr>
        <w:t>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985"/>
        <w:gridCol w:w="1872"/>
      </w:tblGrid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и утверждение локальных документов о мерах пожарной безопасности: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-приказа о назначении ответственного за пожарную безопасность в ДОУ;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об установлении противопожарного режима в ДОУ;</w:t>
            </w:r>
          </w:p>
          <w:p w:rsidR="007F0A51" w:rsidRPr="00CB38A7" w:rsidRDefault="00147F83" w:rsidP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Изучение нормативных документов по пожарной безопасности федерального и регионального уровней.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инструктажей по пожарной безопасности с сотрудниками ДОУ.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Регулярно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</w:t>
            </w:r>
            <w:proofErr w:type="spellStart"/>
            <w:proofErr w:type="gram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</w:t>
            </w:r>
            <w:proofErr w:type="spell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proofErr w:type="gram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планом проведения)</w:t>
            </w:r>
          </w:p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наличия и исправности средств пожаро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тушения (огнетушителей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«Континент»</w:t>
            </w:r>
          </w:p>
        </w:tc>
      </w:tr>
      <w:tr w:rsidR="00F453B4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Pr="00147F83" w:rsidRDefault="00F453B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чердаков, подвалов, помещений на наличие посторонних предметов, строительного и иного мусора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147F83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Профилактические </w:t>
      </w:r>
      <w:proofErr w:type="gramStart"/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 </w:t>
      </w:r>
      <w:proofErr w:type="spellStart"/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proofErr w:type="gramEnd"/>
      <w:r w:rsidR="00B143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гриппа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7"/>
        <w:gridCol w:w="1757"/>
        <w:gridCol w:w="2153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родителями (законными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заведующий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305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13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305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46BEE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Зведующий</w:t>
            </w:r>
            <w:proofErr w:type="spellEnd"/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7F0A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0A51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 w:rsidP="00B143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Обеспечить регулярное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проветривание  помещений,</w:t>
            </w: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коридоров во время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внеплановый инструктаж сотрудников ДОУ по профилактике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(Covid-19)</w:t>
            </w:r>
            <w:r w:rsidR="00B143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гриппа</w:t>
            </w: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регистрацией в журнале инструктажей.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</w:t>
            </w:r>
            <w:r w:rsidR="00B143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B143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гриппа</w:t>
            </w: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входе в здание детского сада и на информационных стендах.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  <w:r w:rsidR="00B143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CB38A7" w:rsidRPr="00FD5C03" w:rsidRDefault="00CB38A7" w:rsidP="00D77F41">
      <w:pPr>
        <w:spacing w:line="600" w:lineRule="atLeast"/>
        <w:rPr>
          <w:lang w:val="ru-RU"/>
        </w:rPr>
      </w:pPr>
    </w:p>
    <w:sectPr w:rsidR="00CB38A7" w:rsidRPr="00FD5C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BDA"/>
    <w:rsid w:val="000A1635"/>
    <w:rsid w:val="00147F83"/>
    <w:rsid w:val="00173414"/>
    <w:rsid w:val="001D662E"/>
    <w:rsid w:val="00200546"/>
    <w:rsid w:val="00236288"/>
    <w:rsid w:val="002850A5"/>
    <w:rsid w:val="00292F12"/>
    <w:rsid w:val="002B0B77"/>
    <w:rsid w:val="002D33B1"/>
    <w:rsid w:val="002D3591"/>
    <w:rsid w:val="00305AB4"/>
    <w:rsid w:val="00344D2F"/>
    <w:rsid w:val="003514A0"/>
    <w:rsid w:val="00380A3D"/>
    <w:rsid w:val="00381723"/>
    <w:rsid w:val="003C296D"/>
    <w:rsid w:val="00446786"/>
    <w:rsid w:val="004741C4"/>
    <w:rsid w:val="004F7E17"/>
    <w:rsid w:val="0053730D"/>
    <w:rsid w:val="005455F8"/>
    <w:rsid w:val="00565D60"/>
    <w:rsid w:val="00591A18"/>
    <w:rsid w:val="0059466F"/>
    <w:rsid w:val="00597258"/>
    <w:rsid w:val="005A05CE"/>
    <w:rsid w:val="005D5748"/>
    <w:rsid w:val="00646A38"/>
    <w:rsid w:val="00653AF6"/>
    <w:rsid w:val="006F49AB"/>
    <w:rsid w:val="006F67E5"/>
    <w:rsid w:val="00710C8B"/>
    <w:rsid w:val="007411F0"/>
    <w:rsid w:val="0078763D"/>
    <w:rsid w:val="007B3C42"/>
    <w:rsid w:val="007F0A51"/>
    <w:rsid w:val="008863D4"/>
    <w:rsid w:val="008A1C12"/>
    <w:rsid w:val="008F0235"/>
    <w:rsid w:val="008F7F6A"/>
    <w:rsid w:val="00977CF5"/>
    <w:rsid w:val="009C0D85"/>
    <w:rsid w:val="009E164D"/>
    <w:rsid w:val="00A52C43"/>
    <w:rsid w:val="00AA4BEB"/>
    <w:rsid w:val="00B143AC"/>
    <w:rsid w:val="00B30F2F"/>
    <w:rsid w:val="00B73A5A"/>
    <w:rsid w:val="00BC3267"/>
    <w:rsid w:val="00C035EE"/>
    <w:rsid w:val="00C46BEE"/>
    <w:rsid w:val="00C64441"/>
    <w:rsid w:val="00CB38A7"/>
    <w:rsid w:val="00CE046F"/>
    <w:rsid w:val="00D77F41"/>
    <w:rsid w:val="00DD3F91"/>
    <w:rsid w:val="00E07660"/>
    <w:rsid w:val="00E22AE0"/>
    <w:rsid w:val="00E31875"/>
    <w:rsid w:val="00E438A1"/>
    <w:rsid w:val="00EC651F"/>
    <w:rsid w:val="00ED03E7"/>
    <w:rsid w:val="00F01E19"/>
    <w:rsid w:val="00F13994"/>
    <w:rsid w:val="00F453B4"/>
    <w:rsid w:val="00F951DC"/>
    <w:rsid w:val="00FD5C03"/>
    <w:rsid w:val="00FE39D3"/>
    <w:rsid w:val="00FE727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0E74"/>
  <w15:docId w15:val="{685CB0C2-3BE8-4A1D-9DF0-58EF3E9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39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0F47-93F4-4A67-B623-02825E7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17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Witalik</cp:lastModifiedBy>
  <cp:revision>28</cp:revision>
  <cp:lastPrinted>2023-11-23T10:35:00Z</cp:lastPrinted>
  <dcterms:created xsi:type="dcterms:W3CDTF">2011-11-02T04:15:00Z</dcterms:created>
  <dcterms:modified xsi:type="dcterms:W3CDTF">2023-12-10T07:36:00Z</dcterms:modified>
</cp:coreProperties>
</file>